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E51" w:rsidRDefault="002859AE" w:rsidP="002E63BB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Перечень приоритетных направлений реализации </w:t>
      </w:r>
    </w:p>
    <w:p w:rsidR="00C84E51" w:rsidRDefault="002859AE" w:rsidP="002E63BB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Стратегии государственной антинаркотической политики Российской Федерации</w:t>
      </w:r>
    </w:p>
    <w:p w:rsidR="002859AE" w:rsidRPr="002859AE" w:rsidRDefault="002859AE" w:rsidP="002E63BB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0" w:name="_GoBack"/>
      <w:bookmarkEnd w:id="0"/>
      <w:r w:rsidRPr="002859A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в Тюменской области на период до 2025 года</w:t>
      </w:r>
    </w:p>
    <w:p w:rsidR="002859AE" w:rsidRPr="002859AE" w:rsidRDefault="002859AE" w:rsidP="002E63BB">
      <w:pPr>
        <w:shd w:val="clear" w:color="auto" w:fill="F4F7FB"/>
        <w:spacing w:before="240"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Утвержден Губернатором Тюменской области, председателем Антинаркотической комиссии Тюменской области 13.01.2021.</w:t>
      </w:r>
    </w:p>
    <w:p w:rsidR="002859AE" w:rsidRPr="002859AE" w:rsidRDefault="002859AE" w:rsidP="002E63BB">
      <w:pPr>
        <w:shd w:val="clear" w:color="auto" w:fill="F4F7FB"/>
        <w:spacing w:before="24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3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 Общие положения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Настоящий Перечень приоритетных направлений реализации Стратегии государственной антинаркотической политики Российской Федерации в Тюменской области на период до </w:t>
      </w:r>
      <w:r w:rsidRPr="002859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2025 года</w:t>
      </w: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Перечень приоритетных направлений) разработан во исполнение пункта 21 С</w:t>
      </w:r>
      <w:r w:rsidRPr="002859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тратегии государственной антинаркотической политики Российской Федерации на период до 2030 года,</w:t>
      </w: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утвержденной Указом Президента Российской Федерации от 23.11.2020 №733 (далее — Стратегия), и определяет основные направления деятельности реализации Стратегии на территории Тюменской области, в том числе критерии и показатели состояния наркоситуации, а также планы достижения значений этих показателей по годам к 2025 и к 2030 гг.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пунктом 18 Стратегии государственной антинаркотической политики Российской Федерации на период до 2030 года, утвержденной Указом Президента Российской Федерации от 23.11.2020 №733, одним из субъектов антинаркотической деятельности являются органы государственной власти субъектов Российской Федерации.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пункту 2 статьи 7 Федерального закона от 08.01.1998 № 3-ФЗ «О наркотических средствах и психотропных веществах» органы исполнительной власти субъектов Российской Федерации, а также органы, специально уполномоченные на решение задач в сфере оборота наркотических средств, психотропных веществ и в области противодействия их незаконному обороту, в пределах своей компетенции организуют исполнение законодательства Российской Федерации о наркотических средствах, психотропных веществах и об их прекурсорах.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Тюменской области отношения в сфере профилактики, лечения, медицинской и социальной реабилитации лиц, незаконно употребляющих наркотические средства, токсические и психотропные вещества регулируются Законом Тюменской области от 13.01.2001 №244 «О профилактике наркомании и токсикомании в Тюменской области» (далее — Закон).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9 Закона органы государственной власти осуществляют свои полномочия в пределах прав и обязанностей, определенных для них соответствующим федеральным и областным законодательствами, а также федеральной, областной программами, направленными на осуществление мероприятий в сфере профилактики незаконного потребления наркотических средств и психотропных веществ, наркомании, токсикомании и лечения наркомании и токсикомании.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Настоящий Перечень приоритетных направлений определяет: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приоритетные направления деятельности реализации Стратегии на территории Тюменской области;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задачи, решаемые органами исполнительной власти Тюменской области в рамках определенных Перечнем приоритетных направлений;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меры, посредством которых обеспечивается решение вышеуказанных задач;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мероприятия, предусмотренные Перечнем, включены и реализуются в рамках государственной программы Тюменской области «Антинаркотическая программа».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Краткая характеристика наркоситуации в Тюменской области.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состоявшегося 16.11.2020 заседания президиума Государственного Совета Российской Федерации, на котором обсуждались меры по повышению эффективности борьбы с незаконным оборотом и потреблением наркотиков, Президентом Российской Федерации В.В. Путиным ситуация с наркотизацией в России определена как «сложная».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Тюменской области 299 муниципальных образований, из них: 6 городских округов, 20 муниципальных районов, 273 сельских поселения. Административный центр – город Тюмень. В 2019 году численность населения Тюменской области составила 1 537 684 человека.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факторами, повышающими риск распространения наркоугрозы в Тюменской области являются и продолжают оставаться географическое положение, социально-экономическая и демографическая ситуация, транзитное положение региона, развитая транспортная инфраструктура, сложная миграционная ситуация.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 производство синтетических наркотиков в странах Евросоюза было экономически выгоднее для наркобизнеса, чем на территории России. Однако, в виду последних экономических и политических изменений, отмечается существенное увеличение количества мест незаконного производства наркотиков на территории оперативного обслуживания. Также возможны появления новых способов производства и применение ранее не известных прекурсоров, удешевляющих изготовление подконтрольных веществ.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Наблюдается наполнение наркорынка региона наркотиками опийной группы (в основном героина). При этом качество «уличного» героина неуклонно снижается. Увеличение количества наполнителей, в том числе усиливающих наркотический эффект, может привести к увеличению числа передозировок с летальным исходом.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Увеличивается рост отравлений от наркотических веществ и психотропных веществ, в том числе среди несовершеннолетних, за счет того, что в структуре опиатов значительную долю занимает высокотоксичный, обладающий высокой наркогенностью, приводящий к мгновенной смерти препарат — метадон, который ранее встречался значительно реже.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серьезную опасность составляет увеличение доли преступлений в сфере незаконного оборота наркотиков совершаемых с использованием возможностей сети Интернет и IP-телефонии.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конспирации наркоторговцы оборудуют свои площадки по продаже наркотиков в так называемой «теневой» части сети Интернет, сохраняя свою анонимность при помощи TOR-браузеров и VPN соединений.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Проведенный анализ оперативной обстановки в Тюменской области свидетельствует о том, что наркомания и незаконный оборот наркотических средств и психотропных веществ продолжают оставаться одной из серьезных угроз безопасности и острой социальной проблемой для региона. Несмотря на предпринимаемые правоохранительными органами усилия по борьбе с незаконным оборотом наркотиков область остается транзитным пунктом наркотрафика.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распространения новой коронавирусной инфекции тенденции бесконтактной передачи наркотиков усилились и необходимо принимать дополнительные меры, направленные на выявление и пресечение преступлений в сфере незаконного оборота наркотиков.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наркоситуации в субъектах Российской Федерации оценивается по утвержденным Государственным антинаркотическим комитетом критериям оценки: «удовлетворительное», «напряженное», «тяжелое», «предкризисное» и «кризисное».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2019 года, необходимо отметить следующую динамику показателей мониторинга наркоситуации: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Показатель «Удельный вес наркопреступлений в общем количестве зарегистрированных преступлений» составил 9,1% (АППГ – 8,2%).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Показатель «Вовлеченность наркопотребителей в незаконный оборот наркотиков» составил 7,5% (АППГ – 6,7%).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Показатель «Криминогенность наркомании (влияние наркотизации на криминогенную обстановку)» составил 20,7% (АППГ – 26,4%).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Показатель «Удельный вес лиц, осужденных за совершение наркопреступлений, в общем количестве осужденных» составил 13,3% (АППГ – 13,5%).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Показатель «Удельный вес молодежи в общем числе лиц, осужденных за совершение наркопреступлений» составил 41,9% (АППГ – 46,6%).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Показатель «Общая заболеваемость наркоманией и обращаемость лиц, употребляющих наркотики с вредными последствиями» составил 304,7 чел. на 100 тыс. населения (АППГ – 305,5 чел. на 100 тыс. населения).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Показатель «Первичная заболеваемость наркоманией» составил 11,1 чел. на 100 тыс. населения (АППГ – 13,0 чел. на 100 тыс. населения).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Показатель «Первичная обращаемость лиц, употребляющих наркотики с вредными последствиями» составил 29,9 чел. на 100 тыс. населения (АППГ – 31,1 чел. на 100 тыс. населения).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Показатель «Смертность, связанная с острым отравлением наркотиками, по данным судебно-медицинской экспертизы» составил 7,0 чел. на 100 тыс. населения (АППГ – 4,3 чел. на 100 тыс. населения).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Показатель «Оценочная распространенность употребления наркотиков» составил 0,5% (АППГ – 0,5%).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Средняя оценка наркоситуации в Тюменской области по итогам 2019 года составила 2,5 баллов, что определило критерий оценки состояния наркоситуации в регионе как «тяжелый» (2018 г. — 2,2 баллов, критерий оценки состояния наркоситуации - «напряженный»).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3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 Приоритетные направления реализации Стратегии в Тюменской области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Приоритетные направления: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совершенствование антинаркотической деятельности и государственного контроля за оборотом наркотиков;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2859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профилактика и раннее выявление незаконного</w:t>
      </w: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потребления наркотиков;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сокращение числа лиц, у которых диагностированы наркомания или пагубное (с негативными последствиями) потребление наркотиков;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сокращение количества преступлений и правонарушений, связанных с незаконным оборотом наркотиков.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Задачи, решение которых обеспечивается в рамках приоритетных направлений: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рамках направления, указанного в подпункте «а» пункта 2.1. настоящего Перечня приоритетных направлений: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эффективной координации антинаркотической деятельности;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рамках направления, указанного в подпункте «б» пункта 2.1. настоящего Перечня приоритетных направлений: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деятельности, направленной на профилактику наркомании и других асоциальных явлений, воспитание социально-ответственной личности, формирование здорового образа жизни детей и молодежи, в том числе находящихся в социально-опасном положении;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осуществление комплекса мероприятий, направленных на выявление лиц, допускающих немедицинское употребление наркотических средств и психотропных веществ.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рамках направления, указанного в подпункте «в» пункта 2.1. настоящего Перечня приоритетных направлений: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оказание наркологической помощи населению;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реабилитация лиц, допускающих употребление психоактивных веществ; ресоциализация наркозависимых и алкозависимых граждан.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 рамках направления, указанного в подпункте «г» пункта 2.1. настоящего Перечня приоритетных направлений: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уничтожение инфраструктуры незаконных производства, транспортировки и распространения наркотиков.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Меры, обеспечивающие решение задач: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2.3.1. В рамках задачи «обеспечение эффективной координации антинаркотической деятельности»: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выявление и пресечение функционирования в сети «Интернет» ресурсов, используемых для пропаганды незаконных потребления и распространения наркотиков;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совершенствование механизмов выявления незаконных посевов и очагов произрастания дикорастущих наркосодержащих растений, фактов их незаконного культивирования, а также методов уничтожения дикорастущих наркосодержащих растений;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повышение роли антинаркотической комиссии Тюменской области, установление обязательности формирования антинаркотических комиссий органами местного самоуправления, методическое обеспечение деятельности органов государственной власти и органов местного самоуправления по вопросам реализации антинаркотической политики;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реализация профессиональной подготовки и переподготовки специалистов, обеспечивающих лечение и реабилитацию лиц, допускающих немедицинское употребление наркотических средств;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привлечение институтов гражданского общества, включая общественные и некоммерческие организации, к решению задач, предусмотренных Стратегией, а также стимулирование их к активному участию в такой работе.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2.3.2. В рамках задачи «организация деятельности, направленной на профилактику наркомании и других асоциальных явлений, воспитание социально-ответственной личности, формирование здорового образа жизни детей и молодежи, в том числе находящихся в социально-опасном положении: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включение профилактических мероприятий в образовательные программы, внеурочную и воспитательную работу, региональные программы, проекты, практики гражданско-патриотического, духовно-нравственного воспитания граждан, в особенности детей и молодежи;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массовых физкультурных и спортивных мероприятий, направленных на популяризацию здорового образа жизни населения;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активное привлечение добровольцев (волонтеров) к участию в реализации антинаркотической политики;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экспертиза материалов в сфере профилактики употребления психоактивных веществ;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сотрудничества со средствами массовой информации по вопросам антинаркотической пропаганды, направленного на повышение уровня осведомленности граждан, в первую очередь несовершеннолетних и их родителей (законных представителей), о рисках, связанных с незаконным потреблением наркотиков, и последствиях такого потребления.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2.3.3. В рамках задачи «осуществление комплекса мероприятий, направленных на выявление лиц, допускающих немедицинское употребление наркотических средств и психотропных веществ»: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совершенствование механизма раннего выявления незаконного потребления наркотиков в образовательных организациях;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обязательного участия обучающихся в мероприятиях по раннему выявлению незаконного потребления наркотиков.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2.3.4. В рамках задачи «оказание наркологической помощи населению»: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сокращение количества случаев отравления людей и снижение уровня смертности населения в результате незаконного потребления наркотиков;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сохранение наркологической службы, ее комплексное развитие, в том числе совершенствование материально-технической базы медицинских организаций наркологического профиля и подразделений наркологического профиля в медицинских организациях общего профиля;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совершенствование раннего выявления (на уровне первичного звена здравоохранения) незаконного потребления наркотиков и лекарственных препаратов с психоактивным действием;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2.3.5. В рамках задачи «реабилитация лиц, допускающих употребление психоактивных веществ; ресоциализация наркозависимых и алкозависимых граждан»: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системы социальной реабилитации больных наркоманией, а также ресоциализации наркопотребителей;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развитие с участием негосударственных организаций системы ресоциализации наркопотребителей, создание условий для эффективной деятельности негосударственных организаций, оказывающих услуги в сфере социальной реабилитации больных наркоманией;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взаимодействия медицинских организаций с организациями, осуществляющими мероприятия по социальной реабилитации и ресоциализации больных наркоманией.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2.3.6. В рамках задачи «уничтожение инфраструктуры незаконных производства, транспортировки и распространения наркотиков»: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совершенствование методов выявления, предупреждения и пресечения преступлений, связанных с незаконным оборотом наркотиков;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выявление и пресечение функционирования в сети «Интернет» ресурсов, используемых для пропаганды незаконных потребления и распространения наркотиков.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Мероприятия, направленные на решения задач, реализуются в рамках</w:t>
      </w:r>
      <w:r w:rsidRPr="002E63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 программы Тюменской области «Антинаркотическая программа» и детального плана-графика реализации государственной программы, утвержденного в соответствии с Постановлением Правительства Тюменской области от 28.07.2014 №405-п «Об утверждении порядка формирования, реализации и оценки эффективности государственных программ Тюменской области».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3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 Сроки и механизмы контроля реализации Перечня приоритетных направлений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Контроль за реализацией настоящего Перечня приоритетных направлений осуществляется по итогам ежегодного мониторинга наркоситуации на заседаниях Антинаркотической комиссии Тюменской области.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Антинаркотическая комиссия Тюменской области, исходя из складывающейся наркоситуации, вправе вносить предложения Губернатору Тюменской области по корректировке настоящего Перечня приоритетных направлений.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3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 Оценка эффективности реализации стратегии в Тюменской области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Плановые значения показателей состояния наркоситуации в Тюменской области на период до 2025 года представлены в приложении к настоящему Перечню приоритетных направлений.</w:t>
      </w:r>
    </w:p>
    <w:p w:rsidR="002859AE" w:rsidRP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9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к Перечню приоритетных направлений</w:t>
      </w:r>
    </w:p>
    <w:p w:rsidR="002859AE" w:rsidRDefault="002859AE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b/>
          <w:bCs/>
          <w:color w:val="3A4256"/>
          <w:lang w:eastAsia="ru-RU"/>
        </w:rPr>
      </w:pPr>
      <w:r w:rsidRPr="002E63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Плановые значения показателей состояния наркоситуации в Тюменской области на период до 2025 год</w:t>
      </w:r>
      <w:r w:rsidRPr="002E63BB">
        <w:rPr>
          <w:rFonts w:ascii="Times New Roman" w:eastAsia="Times New Roman" w:hAnsi="Times New Roman" w:cs="Times New Roman"/>
          <w:b/>
          <w:bCs/>
          <w:color w:val="3A4256"/>
          <w:lang w:eastAsia="ru-RU"/>
        </w:rPr>
        <w:t>а</w:t>
      </w:r>
    </w:p>
    <w:p w:rsidR="002E63BB" w:rsidRPr="002859AE" w:rsidRDefault="002E63BB" w:rsidP="002E63BB">
      <w:pPr>
        <w:shd w:val="clear" w:color="auto" w:fill="F4F7FB"/>
        <w:spacing w:after="0"/>
        <w:rPr>
          <w:rFonts w:ascii="Times New Roman" w:eastAsia="Times New Roman" w:hAnsi="Times New Roman" w:cs="Times New Roman"/>
          <w:color w:val="3A4256"/>
          <w:lang w:eastAsia="ru-RU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"/>
        <w:gridCol w:w="6176"/>
        <w:gridCol w:w="812"/>
        <w:gridCol w:w="641"/>
        <w:gridCol w:w="641"/>
        <w:gridCol w:w="641"/>
        <w:gridCol w:w="641"/>
        <w:gridCol w:w="641"/>
      </w:tblGrid>
      <w:tr w:rsidR="002859AE" w:rsidRPr="002859AE" w:rsidTr="002859AE"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показателя, единица измерения, направленность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Значения показателя</w:t>
            </w:r>
          </w:p>
        </w:tc>
      </w:tr>
      <w:tr w:rsidR="002859AE" w:rsidRPr="002859AE" w:rsidTr="002859A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(оценка)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(план)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(план)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(план)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(план)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(план)</w:t>
            </w:r>
          </w:p>
        </w:tc>
      </w:tr>
      <w:tr w:rsidR="002859AE" w:rsidRPr="002859AE" w:rsidTr="002859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Вовлеченность населения в незаконный оборот наркотиков (количество случаев привлечения к уголовной и административной ответственности за нарушение законодательства Российской Федерации о наркотических средствах и психотропных веществах; чел. на 100 тыс. населения, 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163,3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157,5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149,5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139,7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127,6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125,9</w:t>
            </w:r>
          </w:p>
        </w:tc>
      </w:tr>
      <w:tr w:rsidR="002859AE" w:rsidRPr="002859AE" w:rsidTr="002859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Криминогенность наркомании (соотношение количества наркопотребителей, привлеченных к уголовной ответственности, и наркопотребителей, привлеченных к административной ответственности за потребление наркотиков, на 100 тыс. населения, 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84,9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84,8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84,7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84,6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84,5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84,4</w:t>
            </w:r>
          </w:p>
        </w:tc>
      </w:tr>
      <w:tr w:rsidR="002859AE" w:rsidRPr="002859AE" w:rsidTr="002859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Количество случаев отравления наркотиками, в том числе среди несовершеннолетних, чел. на 100 тыс. населения, 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14,3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12,9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12,1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11,3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10,1</w:t>
            </w:r>
          </w:p>
        </w:tc>
      </w:tr>
      <w:tr w:rsidR="002859AE" w:rsidRPr="002859AE" w:rsidTr="002859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Смертность, связанная с острым отравлением наркотиками, по данным судебно-медицинской экспертизы; количество случаев на 100 тысяч населения, 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8,7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7,7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6,7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5,3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4,4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2,7</w:t>
            </w:r>
          </w:p>
        </w:tc>
      </w:tr>
      <w:tr w:rsidR="002859AE" w:rsidRPr="002859AE" w:rsidTr="002859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9AE">
              <w:rPr>
                <w:rFonts w:ascii="Times New Roman" w:eastAsia="Times New Roman" w:hAnsi="Times New Roman" w:cs="Times New Roman"/>
                <w:lang w:eastAsia="ru-RU"/>
              </w:rPr>
              <w:t>Общая оценка наркоситуации в Тюменской области*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859AE" w:rsidRPr="002859AE" w:rsidRDefault="002859AE" w:rsidP="002E6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160B2" w:rsidRPr="002E63BB" w:rsidRDefault="001160B2" w:rsidP="002E63BB">
      <w:pPr>
        <w:spacing w:after="0" w:line="240" w:lineRule="auto"/>
        <w:rPr>
          <w:rFonts w:ascii="Times New Roman" w:hAnsi="Times New Roman" w:cs="Times New Roman"/>
        </w:rPr>
      </w:pPr>
    </w:p>
    <w:sectPr w:rsidR="001160B2" w:rsidRPr="002E63BB" w:rsidSect="002859AE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FDC"/>
    <w:rsid w:val="001160B2"/>
    <w:rsid w:val="00190FDC"/>
    <w:rsid w:val="002859AE"/>
    <w:rsid w:val="002E63BB"/>
    <w:rsid w:val="00C84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859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59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2859AE"/>
    <w:rPr>
      <w:color w:val="0000FF"/>
      <w:u w:val="single"/>
    </w:rPr>
  </w:style>
  <w:style w:type="character" w:customStyle="1" w:styleId="btn-text">
    <w:name w:val="btn-text"/>
    <w:basedOn w:val="a0"/>
    <w:rsid w:val="002859AE"/>
  </w:style>
  <w:style w:type="character" w:customStyle="1" w:styleId="date">
    <w:name w:val="date"/>
    <w:basedOn w:val="a0"/>
    <w:rsid w:val="002859AE"/>
  </w:style>
  <w:style w:type="paragraph" w:styleId="a4">
    <w:name w:val="Normal (Web)"/>
    <w:basedOn w:val="a"/>
    <w:uiPriority w:val="99"/>
    <w:unhideWhenUsed/>
    <w:rsid w:val="0028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859A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859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59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2859AE"/>
    <w:rPr>
      <w:color w:val="0000FF"/>
      <w:u w:val="single"/>
    </w:rPr>
  </w:style>
  <w:style w:type="character" w:customStyle="1" w:styleId="btn-text">
    <w:name w:val="btn-text"/>
    <w:basedOn w:val="a0"/>
    <w:rsid w:val="002859AE"/>
  </w:style>
  <w:style w:type="character" w:customStyle="1" w:styleId="date">
    <w:name w:val="date"/>
    <w:basedOn w:val="a0"/>
    <w:rsid w:val="002859AE"/>
  </w:style>
  <w:style w:type="paragraph" w:styleId="a4">
    <w:name w:val="Normal (Web)"/>
    <w:basedOn w:val="a"/>
    <w:uiPriority w:val="99"/>
    <w:unhideWhenUsed/>
    <w:rsid w:val="0028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859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5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24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909101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89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56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91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28863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396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81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924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480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2514</Words>
  <Characters>14335</Characters>
  <Application>Microsoft Office Word</Application>
  <DocSecurity>0</DocSecurity>
  <Lines>119</Lines>
  <Paragraphs>33</Paragraphs>
  <ScaleCrop>false</ScaleCrop>
  <Company/>
  <LinksUpToDate>false</LinksUpToDate>
  <CharactersWithSpaces>16816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2021-01-17T17:15:00Z</dcterms:created>
  <dcterms:modified xsi:type="dcterms:W3CDTF">2021-01-17T17:20:00Z</dcterms:modified>
</cp:coreProperties>
</file>